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047C0" w14:textId="77777777" w:rsidR="003930B5" w:rsidRDefault="003930B5" w:rsidP="003930B5">
      <w:pPr>
        <w:jc w:val="center"/>
        <w:rPr>
          <w:rFonts w:ascii="Verdana" w:hAnsi="Verdana"/>
          <w:b/>
          <w:bCs/>
          <w:sz w:val="20"/>
          <w:szCs w:val="20"/>
        </w:rPr>
      </w:pPr>
      <w:r w:rsidRPr="00B448AE">
        <w:rPr>
          <w:rFonts w:ascii="Verdana" w:hAnsi="Verdana"/>
          <w:b/>
          <w:bCs/>
          <w:sz w:val="20"/>
          <w:szCs w:val="20"/>
        </w:rPr>
        <w:t>OPIS PRZEDMIOTU ZAMÓWIENIA</w:t>
      </w:r>
    </w:p>
    <w:p w14:paraId="342886A7" w14:textId="5EA67AB5" w:rsidR="00441F85" w:rsidRDefault="00E83C8E" w:rsidP="00E83C8E">
      <w:pPr>
        <w:pStyle w:val="Akapitzlist"/>
        <w:ind w:left="360"/>
        <w:jc w:val="center"/>
        <w:rPr>
          <w:rFonts w:ascii="Verdana" w:hAnsi="Verdana"/>
          <w:b/>
          <w:bCs/>
          <w:sz w:val="20"/>
          <w:szCs w:val="20"/>
        </w:rPr>
      </w:pPr>
      <w:r w:rsidRPr="005671CF">
        <w:rPr>
          <w:rFonts w:ascii="Verdana" w:hAnsi="Verdana"/>
          <w:b/>
          <w:bCs/>
          <w:sz w:val="20"/>
          <w:szCs w:val="20"/>
        </w:rPr>
        <w:t>Opracowanie Analizy i Prognozy Ruchu węzła na istniejącej drodze krajowej nr 25 tzw. obwodnicy Nowych Skalmierzyc</w:t>
      </w:r>
      <w:r>
        <w:rPr>
          <w:rFonts w:ascii="Verdana" w:hAnsi="Verdana"/>
          <w:b/>
          <w:bCs/>
          <w:sz w:val="20"/>
          <w:szCs w:val="20"/>
        </w:rPr>
        <w:t xml:space="preserve"> wraz z aktualizacją </w:t>
      </w:r>
      <w:r w:rsidRPr="005671CF">
        <w:rPr>
          <w:rFonts w:ascii="Verdana" w:hAnsi="Verdana"/>
          <w:b/>
          <w:bCs/>
          <w:sz w:val="20"/>
          <w:szCs w:val="20"/>
        </w:rPr>
        <w:t>Analizy i Prognozy Ruchu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FE15F7">
        <w:rPr>
          <w:rFonts w:ascii="Verdana" w:hAnsi="Verdana"/>
          <w:b/>
          <w:bCs/>
          <w:sz w:val="20"/>
          <w:szCs w:val="20"/>
        </w:rPr>
        <w:t>drogi krajowej nr 25 na odcinku Kokanin z węzłem – Biskupice Ołoboczne (obwodnica Kalisza)</w:t>
      </w:r>
    </w:p>
    <w:p w14:paraId="1BB35CF7" w14:textId="77777777" w:rsidR="00E83C8E" w:rsidRPr="00441F85" w:rsidRDefault="00E83C8E" w:rsidP="00E83C8E">
      <w:pPr>
        <w:pStyle w:val="Akapitzlist"/>
        <w:ind w:left="360"/>
        <w:jc w:val="center"/>
        <w:rPr>
          <w:rFonts w:ascii="Verdana" w:hAnsi="Verdana"/>
          <w:sz w:val="20"/>
          <w:szCs w:val="20"/>
        </w:rPr>
      </w:pPr>
    </w:p>
    <w:p w14:paraId="6A123919" w14:textId="12471EA4" w:rsidR="00A00611" w:rsidRDefault="00A00611" w:rsidP="00A00611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Przedmiotem niniejszego zmówienia jest opracowanie </w:t>
      </w:r>
      <w:r w:rsidR="00E45524">
        <w:rPr>
          <w:rFonts w:ascii="Verdana" w:hAnsi="Verdana"/>
          <w:sz w:val="20"/>
          <w:szCs w:val="20"/>
        </w:rPr>
        <w:t xml:space="preserve">Aktualizacja </w:t>
      </w:r>
      <w:r>
        <w:rPr>
          <w:rFonts w:ascii="Verdana" w:hAnsi="Verdana"/>
          <w:sz w:val="20"/>
          <w:szCs w:val="20"/>
        </w:rPr>
        <w:t>Analizy i</w:t>
      </w:r>
      <w:r w:rsidRPr="00A00611">
        <w:t xml:space="preserve"> </w:t>
      </w:r>
      <w:r w:rsidRPr="00A00611">
        <w:rPr>
          <w:rFonts w:ascii="Verdana" w:hAnsi="Verdana"/>
          <w:sz w:val="20"/>
          <w:szCs w:val="20"/>
        </w:rPr>
        <w:t>Prognozy Ruchu</w:t>
      </w:r>
      <w:r w:rsidRPr="00A00611">
        <w:t xml:space="preserve"> </w:t>
      </w:r>
      <w:r w:rsidRPr="00A00611">
        <w:rPr>
          <w:rFonts w:ascii="Verdana" w:hAnsi="Verdana"/>
          <w:sz w:val="20"/>
          <w:szCs w:val="20"/>
        </w:rPr>
        <w:t>drogi krajowej nr 25 na odcinku Kokanin z węzłem – Biskupice Ołoboczne (obwodnica Kalisza) wraz z</w:t>
      </w:r>
      <w:r w:rsidR="00E45524">
        <w:rPr>
          <w:rFonts w:ascii="Verdana" w:hAnsi="Verdana"/>
          <w:sz w:val="20"/>
          <w:szCs w:val="20"/>
        </w:rPr>
        <w:t xml:space="preserve"> opracowaniem </w:t>
      </w:r>
      <w:r w:rsidR="00E45524" w:rsidRPr="00E45524">
        <w:rPr>
          <w:rFonts w:ascii="Verdana" w:hAnsi="Verdana"/>
          <w:sz w:val="20"/>
          <w:szCs w:val="20"/>
        </w:rPr>
        <w:t>Analizy i Prognozy Ruchu</w:t>
      </w:r>
      <w:r w:rsidRPr="00A00611">
        <w:rPr>
          <w:rFonts w:ascii="Verdana" w:hAnsi="Verdana"/>
          <w:sz w:val="20"/>
          <w:szCs w:val="20"/>
        </w:rPr>
        <w:t xml:space="preserve"> </w:t>
      </w:r>
      <w:r w:rsidR="00E45524">
        <w:rPr>
          <w:rFonts w:ascii="Verdana" w:hAnsi="Verdana"/>
          <w:sz w:val="20"/>
          <w:szCs w:val="20"/>
        </w:rPr>
        <w:t xml:space="preserve">dla </w:t>
      </w:r>
      <w:r w:rsidRPr="00A00611">
        <w:rPr>
          <w:rFonts w:ascii="Verdana" w:hAnsi="Verdana"/>
          <w:sz w:val="20"/>
          <w:szCs w:val="20"/>
        </w:rPr>
        <w:t>węzł</w:t>
      </w:r>
      <w:r w:rsidR="00E45524">
        <w:rPr>
          <w:rFonts w:ascii="Verdana" w:hAnsi="Verdana"/>
          <w:sz w:val="20"/>
          <w:szCs w:val="20"/>
        </w:rPr>
        <w:t>a</w:t>
      </w:r>
      <w:r w:rsidRPr="00A00611">
        <w:rPr>
          <w:rFonts w:ascii="Verdana" w:hAnsi="Verdana"/>
          <w:sz w:val="20"/>
          <w:szCs w:val="20"/>
        </w:rPr>
        <w:t xml:space="preserve"> na istniejącej drodze krajowej nr 25 tzw. obwodnicy Nowych Skalmierzyc</w:t>
      </w:r>
      <w:r w:rsidR="00364C84">
        <w:rPr>
          <w:rFonts w:ascii="Verdana" w:hAnsi="Verdana"/>
          <w:sz w:val="20"/>
          <w:szCs w:val="20"/>
        </w:rPr>
        <w:t>.</w:t>
      </w:r>
    </w:p>
    <w:p w14:paraId="73CB9463" w14:textId="2DFD6DE3" w:rsidR="00E45524" w:rsidRDefault="00E45524" w:rsidP="00E45524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Pr="00E45524">
        <w:rPr>
          <w:rFonts w:ascii="Verdana" w:hAnsi="Verdana"/>
          <w:sz w:val="20"/>
          <w:szCs w:val="20"/>
        </w:rPr>
        <w:t>ałożenia do wykonania aktualizacji analizy i prognozy ruchu dla przedmiotowego zadania, w zakresie dodatkowego węzła na tzw. obwodnicy Nowych Skalmierzyc na wysokości ulicy Skalmierzyckiej i Boczkowskiej, w ciągu istniejącej DK25:</w:t>
      </w:r>
    </w:p>
    <w:p w14:paraId="580F084B" w14:textId="77777777" w:rsidR="00E45524" w:rsidRPr="00E45524" w:rsidRDefault="00E45524" w:rsidP="00E45524">
      <w:pPr>
        <w:pStyle w:val="Akapitzlist"/>
        <w:numPr>
          <w:ilvl w:val="0"/>
          <w:numId w:val="10"/>
        </w:numPr>
        <w:jc w:val="both"/>
        <w:rPr>
          <w:rFonts w:ascii="Verdana" w:hAnsi="Verdana"/>
          <w:vanish/>
          <w:sz w:val="20"/>
          <w:szCs w:val="20"/>
        </w:rPr>
      </w:pPr>
    </w:p>
    <w:p w14:paraId="3BCA36D6" w14:textId="77777777" w:rsidR="00E45524" w:rsidRPr="00E45524" w:rsidRDefault="00E45524" w:rsidP="00E45524">
      <w:pPr>
        <w:pStyle w:val="Akapitzlist"/>
        <w:numPr>
          <w:ilvl w:val="0"/>
          <w:numId w:val="10"/>
        </w:numPr>
        <w:jc w:val="both"/>
        <w:rPr>
          <w:rFonts w:ascii="Verdana" w:hAnsi="Verdana"/>
          <w:vanish/>
          <w:sz w:val="20"/>
          <w:szCs w:val="20"/>
        </w:rPr>
      </w:pPr>
    </w:p>
    <w:p w14:paraId="09BE99AB" w14:textId="53BE04C7" w:rsidR="00A00611" w:rsidRPr="00E45524" w:rsidRDefault="00A00611" w:rsidP="00E45524">
      <w:pPr>
        <w:pStyle w:val="Akapitzlist"/>
        <w:numPr>
          <w:ilvl w:val="1"/>
          <w:numId w:val="10"/>
        </w:numPr>
        <w:jc w:val="both"/>
        <w:rPr>
          <w:rFonts w:ascii="Verdana" w:hAnsi="Verdana"/>
          <w:sz w:val="20"/>
          <w:szCs w:val="20"/>
        </w:rPr>
      </w:pPr>
      <w:r w:rsidRPr="00E45524">
        <w:rPr>
          <w:rFonts w:ascii="Verdana" w:hAnsi="Verdana"/>
          <w:sz w:val="20"/>
          <w:szCs w:val="20"/>
        </w:rPr>
        <w:t xml:space="preserve">Należy przyjąć założenia dotyczące rozwoju sieci dróg krajowych zgodnie z Uchwałą nr 253/2022 Rady Ministrów z dnia 13 grudnia 2022 r., ustanawiającą Rządowy Program Budowy Dróg Krajowych do 2030 r. (z perspektywą do 2033 r.), dostępną na stronie internetowej Ministerstwa Infrastruktury pod adresem www: </w:t>
      </w:r>
      <w:hyperlink r:id="rId5" w:history="1">
        <w:r w:rsidRPr="00E45524">
          <w:rPr>
            <w:rStyle w:val="Hipercze"/>
            <w:rFonts w:ascii="Verdana" w:hAnsi="Verdana"/>
            <w:sz w:val="20"/>
            <w:szCs w:val="20"/>
          </w:rPr>
          <w:t>Rządowy Program Budowy Dróg Krajowych do 2030 r. (z perspektywą do 2033 r.) - Ministerstwo Infrastruktury - Portal Gov.pl</w:t>
        </w:r>
      </w:hyperlink>
      <w:r w:rsidRPr="00E45524">
        <w:rPr>
          <w:rFonts w:ascii="Verdana" w:hAnsi="Verdana"/>
          <w:sz w:val="20"/>
          <w:szCs w:val="20"/>
        </w:rPr>
        <w:t>, w szczególności zadania inwestycyjne zawarte w załączniku do niniejszej Uchwały, tj. z załącznika nr 1 z listą zadań inwestycyjnych realizowanych w ramach niniejszego Programu oraz z załącznika nr 2 z zadaniami inwestycyjnymi kontynuowanymi z Programu Budowy Dróg Krajowych na lata 2014 – 2023 (z perspektywą do 2025 r.).</w:t>
      </w:r>
    </w:p>
    <w:p w14:paraId="7019DA35" w14:textId="77777777" w:rsidR="00A00611" w:rsidRPr="00A00611" w:rsidRDefault="00A00611" w:rsidP="002A625B">
      <w:pPr>
        <w:pStyle w:val="Akapitzlist"/>
        <w:ind w:left="792"/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>Harmonogram rozwoju sieci dróg szybkiego ruchu powinien również obejmować inwestycje:</w:t>
      </w:r>
    </w:p>
    <w:p w14:paraId="2AD52016" w14:textId="77777777" w:rsidR="00A00611" w:rsidRPr="00A00611" w:rsidRDefault="00A00611" w:rsidP="00E45524">
      <w:pPr>
        <w:pStyle w:val="Akapitzlist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 xml:space="preserve">określone w rozporządzeniu Rady Ministrów z dnia 15 maja 2004 roku w sprawie sieci autostrad i dróg ekspresowych (Dz. U. z 2018 r., poz. 741 z późn. zm.), </w:t>
      </w:r>
    </w:p>
    <w:p w14:paraId="2C85A045" w14:textId="02920190" w:rsidR="00A00611" w:rsidRPr="00A00611" w:rsidRDefault="00A00611" w:rsidP="00E45524">
      <w:pPr>
        <w:pStyle w:val="Akapitzlist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>uwzględnione w obowiązującej sieci TEN–T (dla odcinków sieci bazowej do 2030 r. i odcinków sieci kompleksowej do 2050 r.),</w:t>
      </w:r>
      <w:r>
        <w:rPr>
          <w:rFonts w:ascii="Verdana" w:hAnsi="Verdana"/>
          <w:sz w:val="20"/>
          <w:szCs w:val="20"/>
        </w:rPr>
        <w:t xml:space="preserve"> </w:t>
      </w:r>
    </w:p>
    <w:p w14:paraId="331BF702" w14:textId="77777777" w:rsidR="00A00611" w:rsidRPr="00A00611" w:rsidRDefault="00A00611" w:rsidP="00E45524">
      <w:pPr>
        <w:pStyle w:val="Akapitzlist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>przyjęte Uchwałą nr 46/2021 Rady Ministrów z 13 kwietnia 2021 r., w sprawie ustanowienia programu wieloletniego pod nazwą „Program Budowy 100 Obwodnic na lata 2020–2030”,</w:t>
      </w:r>
    </w:p>
    <w:p w14:paraId="52DFD880" w14:textId="77777777" w:rsidR="00A00611" w:rsidRPr="00A00611" w:rsidRDefault="00A00611" w:rsidP="00E45524">
      <w:pPr>
        <w:pStyle w:val="Akapitzlist"/>
        <w:numPr>
          <w:ilvl w:val="0"/>
          <w:numId w:val="11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>zawarte w załączniku 1 (dane aktualne na koniec grudnia 2025 r.).</w:t>
      </w:r>
    </w:p>
    <w:p w14:paraId="7081847F" w14:textId="2522E079" w:rsidR="00A00611" w:rsidRDefault="00A00611" w:rsidP="00E45524">
      <w:pPr>
        <w:pStyle w:val="Akapitzlist"/>
        <w:numPr>
          <w:ilvl w:val="1"/>
          <w:numId w:val="1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</w:t>
      </w:r>
      <w:r w:rsidRPr="00A00611">
        <w:rPr>
          <w:rFonts w:ascii="Verdana" w:hAnsi="Verdana"/>
          <w:sz w:val="20"/>
          <w:szCs w:val="20"/>
        </w:rPr>
        <w:t>potwierdza aktualność obowiązujących wskaźników wzrostu PKB dostępnych na stronie internetowej GDDKiA (w zakładce: Co robimy &gt; Drogi i mosty &gt; Pomiary i analizy ruchu &gt; Założenia do prognoz ruchu). Dodatkowo dla lat 2041–2050 należy przyjąć następujące wartości wskaźnika wzrostu PKB (średnie dla obszaru całego kraju):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517"/>
        <w:gridCol w:w="1463"/>
        <w:gridCol w:w="1517"/>
        <w:gridCol w:w="1463"/>
      </w:tblGrid>
      <w:tr w:rsidR="00A54F40" w14:paraId="471F14FE" w14:textId="77777777" w:rsidTr="00A54F40">
        <w:trPr>
          <w:jc w:val="center"/>
        </w:trPr>
        <w:tc>
          <w:tcPr>
            <w:tcW w:w="1195" w:type="dxa"/>
          </w:tcPr>
          <w:p w14:paraId="754B63B1" w14:textId="6AD86340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A90763">
              <w:rPr>
                <w:rFonts w:ascii="Verdana" w:hAnsi="Verdana"/>
                <w:sz w:val="20"/>
                <w:szCs w:val="20"/>
              </w:rPr>
              <w:t>Rok</w:t>
            </w:r>
          </w:p>
        </w:tc>
        <w:tc>
          <w:tcPr>
            <w:tcW w:w="1134" w:type="dxa"/>
          </w:tcPr>
          <w:p w14:paraId="683C7901" w14:textId="0A647D39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A90763">
              <w:rPr>
                <w:rFonts w:ascii="Verdana" w:hAnsi="Verdana"/>
                <w:sz w:val="20"/>
                <w:szCs w:val="20"/>
              </w:rPr>
              <w:t>PKB</w:t>
            </w:r>
          </w:p>
        </w:tc>
        <w:tc>
          <w:tcPr>
            <w:tcW w:w="992" w:type="dxa"/>
          </w:tcPr>
          <w:p w14:paraId="72FB175E" w14:textId="4C24A7A2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A90763">
              <w:rPr>
                <w:rFonts w:ascii="Verdana" w:hAnsi="Verdana"/>
                <w:sz w:val="20"/>
                <w:szCs w:val="20"/>
              </w:rPr>
              <w:t>Rok</w:t>
            </w:r>
          </w:p>
        </w:tc>
        <w:tc>
          <w:tcPr>
            <w:tcW w:w="992" w:type="dxa"/>
          </w:tcPr>
          <w:p w14:paraId="25BC6298" w14:textId="353FC6F9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A90763">
              <w:rPr>
                <w:rFonts w:ascii="Verdana" w:hAnsi="Verdana"/>
                <w:sz w:val="20"/>
                <w:szCs w:val="20"/>
              </w:rPr>
              <w:t>PKB</w:t>
            </w:r>
          </w:p>
        </w:tc>
      </w:tr>
      <w:tr w:rsidR="00A54F40" w14:paraId="6CE9E17E" w14:textId="77777777" w:rsidTr="00A54F40">
        <w:trPr>
          <w:jc w:val="center"/>
        </w:trPr>
        <w:tc>
          <w:tcPr>
            <w:tcW w:w="1195" w:type="dxa"/>
          </w:tcPr>
          <w:p w14:paraId="0E7541D2" w14:textId="5C7AC3DD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B22A79">
              <w:rPr>
                <w:rFonts w:ascii="Verdana" w:hAnsi="Verdana"/>
                <w:sz w:val="20"/>
                <w:szCs w:val="20"/>
              </w:rPr>
              <w:t>2041</w:t>
            </w:r>
          </w:p>
        </w:tc>
        <w:tc>
          <w:tcPr>
            <w:tcW w:w="1134" w:type="dxa"/>
          </w:tcPr>
          <w:p w14:paraId="436ADE32" w14:textId="6CB8D005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B22A79">
              <w:rPr>
                <w:rFonts w:ascii="Verdana" w:hAnsi="Verdana"/>
                <w:sz w:val="20"/>
                <w:szCs w:val="20"/>
              </w:rPr>
              <w:t>2,10</w:t>
            </w:r>
          </w:p>
        </w:tc>
        <w:tc>
          <w:tcPr>
            <w:tcW w:w="992" w:type="dxa"/>
          </w:tcPr>
          <w:p w14:paraId="75DAF3E3" w14:textId="09114EC0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B22A79">
              <w:rPr>
                <w:rFonts w:ascii="Verdana" w:hAnsi="Verdana"/>
                <w:sz w:val="20"/>
                <w:szCs w:val="20"/>
              </w:rPr>
              <w:t>2046</w:t>
            </w:r>
          </w:p>
        </w:tc>
        <w:tc>
          <w:tcPr>
            <w:tcW w:w="992" w:type="dxa"/>
          </w:tcPr>
          <w:p w14:paraId="6BCB2F7E" w14:textId="7806C3D5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B22A79">
              <w:rPr>
                <w:rFonts w:ascii="Verdana" w:hAnsi="Verdana"/>
                <w:sz w:val="20"/>
                <w:szCs w:val="20"/>
              </w:rPr>
              <w:t>2,00</w:t>
            </w:r>
          </w:p>
        </w:tc>
      </w:tr>
      <w:tr w:rsidR="00A54F40" w14:paraId="7FD88C6B" w14:textId="77777777" w:rsidTr="00A54F40">
        <w:trPr>
          <w:jc w:val="center"/>
        </w:trPr>
        <w:tc>
          <w:tcPr>
            <w:tcW w:w="1195" w:type="dxa"/>
          </w:tcPr>
          <w:p w14:paraId="637C8E31" w14:textId="7481220F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272242">
              <w:rPr>
                <w:rFonts w:ascii="Verdana" w:hAnsi="Verdana"/>
                <w:sz w:val="20"/>
                <w:szCs w:val="20"/>
              </w:rPr>
              <w:t>2042</w:t>
            </w:r>
          </w:p>
        </w:tc>
        <w:tc>
          <w:tcPr>
            <w:tcW w:w="1134" w:type="dxa"/>
          </w:tcPr>
          <w:p w14:paraId="3C67CB89" w14:textId="190481E7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272242">
              <w:rPr>
                <w:rFonts w:ascii="Verdana" w:hAnsi="Verdana"/>
                <w:sz w:val="20"/>
                <w:szCs w:val="20"/>
              </w:rPr>
              <w:t>2,10</w:t>
            </w:r>
          </w:p>
        </w:tc>
        <w:tc>
          <w:tcPr>
            <w:tcW w:w="992" w:type="dxa"/>
          </w:tcPr>
          <w:p w14:paraId="74F82986" w14:textId="5CF8367C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272242">
              <w:rPr>
                <w:rFonts w:ascii="Verdana" w:hAnsi="Verdana"/>
                <w:sz w:val="20"/>
                <w:szCs w:val="20"/>
              </w:rPr>
              <w:t>2047</w:t>
            </w:r>
          </w:p>
        </w:tc>
        <w:tc>
          <w:tcPr>
            <w:tcW w:w="992" w:type="dxa"/>
          </w:tcPr>
          <w:p w14:paraId="6F5DE2F4" w14:textId="394F1C66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272242">
              <w:rPr>
                <w:rFonts w:ascii="Verdana" w:hAnsi="Verdana"/>
                <w:sz w:val="20"/>
                <w:szCs w:val="20"/>
              </w:rPr>
              <w:t>2,00</w:t>
            </w:r>
          </w:p>
        </w:tc>
      </w:tr>
      <w:tr w:rsidR="00A54F40" w14:paraId="04F7CA89" w14:textId="77777777" w:rsidTr="00A54F40">
        <w:trPr>
          <w:jc w:val="center"/>
        </w:trPr>
        <w:tc>
          <w:tcPr>
            <w:tcW w:w="1195" w:type="dxa"/>
          </w:tcPr>
          <w:p w14:paraId="318FE6B9" w14:textId="18EC0FF8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A95B19">
              <w:rPr>
                <w:rFonts w:ascii="Verdana" w:hAnsi="Verdana"/>
                <w:sz w:val="20"/>
                <w:szCs w:val="20"/>
              </w:rPr>
              <w:t>2043</w:t>
            </w:r>
          </w:p>
        </w:tc>
        <w:tc>
          <w:tcPr>
            <w:tcW w:w="1134" w:type="dxa"/>
          </w:tcPr>
          <w:p w14:paraId="789318CD" w14:textId="332D6BFF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A95B19">
              <w:rPr>
                <w:rFonts w:ascii="Verdana" w:hAnsi="Verdana"/>
                <w:sz w:val="20"/>
                <w:szCs w:val="20"/>
              </w:rPr>
              <w:t>2,10</w:t>
            </w:r>
          </w:p>
        </w:tc>
        <w:tc>
          <w:tcPr>
            <w:tcW w:w="992" w:type="dxa"/>
          </w:tcPr>
          <w:p w14:paraId="3E2B6942" w14:textId="7094D360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A95B19">
              <w:rPr>
                <w:rFonts w:ascii="Verdana" w:hAnsi="Verdana"/>
                <w:sz w:val="20"/>
                <w:szCs w:val="20"/>
              </w:rPr>
              <w:t>2048</w:t>
            </w:r>
          </w:p>
        </w:tc>
        <w:tc>
          <w:tcPr>
            <w:tcW w:w="992" w:type="dxa"/>
          </w:tcPr>
          <w:p w14:paraId="2271DB53" w14:textId="187DFD7E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A95B19">
              <w:rPr>
                <w:rFonts w:ascii="Verdana" w:hAnsi="Verdana"/>
                <w:sz w:val="20"/>
                <w:szCs w:val="20"/>
              </w:rPr>
              <w:t>2,00</w:t>
            </w:r>
          </w:p>
        </w:tc>
      </w:tr>
      <w:tr w:rsidR="00A54F40" w14:paraId="5FB8CF14" w14:textId="77777777" w:rsidTr="00A54F40">
        <w:trPr>
          <w:jc w:val="center"/>
        </w:trPr>
        <w:tc>
          <w:tcPr>
            <w:tcW w:w="1195" w:type="dxa"/>
          </w:tcPr>
          <w:p w14:paraId="312192E8" w14:textId="7D742ACA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DC7B9E">
              <w:rPr>
                <w:rFonts w:ascii="Verdana" w:hAnsi="Verdana"/>
                <w:sz w:val="20"/>
                <w:szCs w:val="20"/>
              </w:rPr>
              <w:t>2044</w:t>
            </w:r>
          </w:p>
        </w:tc>
        <w:tc>
          <w:tcPr>
            <w:tcW w:w="1134" w:type="dxa"/>
          </w:tcPr>
          <w:p w14:paraId="700D9D67" w14:textId="6C9A70A8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DC7B9E">
              <w:rPr>
                <w:rFonts w:ascii="Verdana" w:hAnsi="Verdana"/>
                <w:sz w:val="20"/>
                <w:szCs w:val="20"/>
              </w:rPr>
              <w:t>2,10</w:t>
            </w:r>
          </w:p>
        </w:tc>
        <w:tc>
          <w:tcPr>
            <w:tcW w:w="992" w:type="dxa"/>
          </w:tcPr>
          <w:p w14:paraId="555C716D" w14:textId="7BE0BECF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DC7B9E">
              <w:rPr>
                <w:rFonts w:ascii="Verdana" w:hAnsi="Verdana"/>
                <w:sz w:val="20"/>
                <w:szCs w:val="20"/>
              </w:rPr>
              <w:t>2049</w:t>
            </w:r>
          </w:p>
        </w:tc>
        <w:tc>
          <w:tcPr>
            <w:tcW w:w="992" w:type="dxa"/>
          </w:tcPr>
          <w:p w14:paraId="567849EC" w14:textId="78050D0C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DC7B9E">
              <w:rPr>
                <w:rFonts w:ascii="Verdana" w:hAnsi="Verdana"/>
                <w:sz w:val="20"/>
                <w:szCs w:val="20"/>
              </w:rPr>
              <w:t>2,00</w:t>
            </w:r>
          </w:p>
        </w:tc>
      </w:tr>
      <w:tr w:rsidR="00A54F40" w14:paraId="7F730AFB" w14:textId="77777777" w:rsidTr="00A54F40">
        <w:trPr>
          <w:jc w:val="center"/>
        </w:trPr>
        <w:tc>
          <w:tcPr>
            <w:tcW w:w="1195" w:type="dxa"/>
          </w:tcPr>
          <w:p w14:paraId="4FED2521" w14:textId="65468F9D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7137B7">
              <w:rPr>
                <w:rFonts w:ascii="Verdana" w:hAnsi="Verdana"/>
                <w:sz w:val="20"/>
                <w:szCs w:val="20"/>
              </w:rPr>
              <w:t>2045</w:t>
            </w:r>
          </w:p>
        </w:tc>
        <w:tc>
          <w:tcPr>
            <w:tcW w:w="1134" w:type="dxa"/>
          </w:tcPr>
          <w:p w14:paraId="57B64E49" w14:textId="5F0070F2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7137B7">
              <w:rPr>
                <w:rFonts w:ascii="Verdana" w:hAnsi="Verdana"/>
                <w:sz w:val="20"/>
                <w:szCs w:val="20"/>
              </w:rPr>
              <w:t>2,00</w:t>
            </w:r>
          </w:p>
        </w:tc>
        <w:tc>
          <w:tcPr>
            <w:tcW w:w="992" w:type="dxa"/>
          </w:tcPr>
          <w:p w14:paraId="07E6248F" w14:textId="2EF9D7DF" w:rsidR="00A54F40" w:rsidRPr="00E45524" w:rsidRDefault="00A54F40" w:rsidP="00E45524">
            <w:pPr>
              <w:ind w:left="360"/>
              <w:jc w:val="right"/>
              <w:rPr>
                <w:rFonts w:ascii="Verdana" w:hAnsi="Verdana"/>
                <w:sz w:val="20"/>
                <w:szCs w:val="20"/>
              </w:rPr>
            </w:pPr>
            <w:r w:rsidRPr="00E45524">
              <w:rPr>
                <w:rFonts w:ascii="Verdana" w:hAnsi="Verdana"/>
                <w:sz w:val="20"/>
                <w:szCs w:val="20"/>
              </w:rPr>
              <w:t>2050</w:t>
            </w:r>
          </w:p>
        </w:tc>
        <w:tc>
          <w:tcPr>
            <w:tcW w:w="992" w:type="dxa"/>
          </w:tcPr>
          <w:p w14:paraId="231533DB" w14:textId="41DB4554" w:rsidR="00A54F40" w:rsidRDefault="00A54F40" w:rsidP="00E45524">
            <w:pPr>
              <w:pStyle w:val="Akapitzlist"/>
              <w:ind w:left="792"/>
              <w:jc w:val="both"/>
              <w:rPr>
                <w:rFonts w:ascii="Verdana" w:hAnsi="Verdana"/>
                <w:sz w:val="20"/>
                <w:szCs w:val="20"/>
              </w:rPr>
            </w:pPr>
            <w:r w:rsidRPr="007137B7">
              <w:rPr>
                <w:rFonts w:ascii="Verdana" w:hAnsi="Verdana"/>
                <w:sz w:val="20"/>
                <w:szCs w:val="20"/>
              </w:rPr>
              <w:t>1,90</w:t>
            </w:r>
          </w:p>
        </w:tc>
      </w:tr>
    </w:tbl>
    <w:p w14:paraId="5765B89B" w14:textId="77777777" w:rsidR="00A54F40" w:rsidRPr="00A00611" w:rsidRDefault="00A54F40" w:rsidP="00A54F40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691AEADA" w14:textId="77777777" w:rsidR="00A00611" w:rsidRPr="00A00611" w:rsidRDefault="00A00611" w:rsidP="00E45524">
      <w:pPr>
        <w:pStyle w:val="Akapitzlist"/>
        <w:ind w:left="792"/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>Po roku 2050 należy przyjmować wskaźniki PKB na poziomie 1.9. Wskaźniki elastyczności dla poszczególnych kategorii pojazdów należy przyjmować takie jak dla roku 2040.</w:t>
      </w:r>
    </w:p>
    <w:p w14:paraId="48B08B61" w14:textId="0582C493" w:rsidR="00A00611" w:rsidRPr="00A00611" w:rsidRDefault="00A00611" w:rsidP="00E45524">
      <w:pPr>
        <w:pStyle w:val="Akapitzlist"/>
        <w:numPr>
          <w:ilvl w:val="1"/>
          <w:numId w:val="10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lastRenderedPageBreak/>
        <w:t>Informacje o wysokości stawek opłat obowiązujących dla elektronicznego poboru opłat (e-TOLL) i dla autostrad płatnych przedstawiono w załączniku 2. Dodatkowo informujemy, że od 01.07.2023 r. weszła w życie ustawa z 26.05.2023 r. o zmianie ustawy o autostradach płatnych oraz o Krajowym Funduszu Drogowym oraz niektórych innych ustaw, która przewiduje zwolnienie z opłat za przejazd pojazdów lekkich autostradą na odcinkach zarządzanych przez GDDKiA. Informacje o bezpłatnych przejazdach autostradami na stronie etoll.gov.pl.</w:t>
      </w:r>
    </w:p>
    <w:p w14:paraId="37DFEE71" w14:textId="0063284F" w:rsidR="00A00611" w:rsidRPr="00A00611" w:rsidRDefault="00A00611" w:rsidP="00E45524">
      <w:pPr>
        <w:pStyle w:val="Akapitzlist"/>
        <w:numPr>
          <w:ilvl w:val="1"/>
          <w:numId w:val="10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 xml:space="preserve">Prognozę należy wykonać metodą modelowania z wykorzystaniem najbardziej aktualnych prognoz demograficznych – zalecane jest przez </w:t>
      </w:r>
      <w:r w:rsidR="00A54F40">
        <w:rPr>
          <w:rFonts w:ascii="Verdana" w:hAnsi="Verdana"/>
          <w:sz w:val="20"/>
          <w:szCs w:val="20"/>
        </w:rPr>
        <w:t>Zamawiającego</w:t>
      </w:r>
      <w:r w:rsidRPr="00A00611">
        <w:rPr>
          <w:rFonts w:ascii="Verdana" w:hAnsi="Verdana"/>
          <w:sz w:val="20"/>
          <w:szCs w:val="20"/>
        </w:rPr>
        <w:t xml:space="preserve"> wykorzystanie aktualnego modelu krajowego (IKMR lub ZMR). Na potrzeby realizacji inwestycji w GDDKiA zalecamy przyjęcie 30 letniego okresu analizy począwszy od 1-go pełnego roku eksploatacji w okresach 5letnich. Kalibrację modelu ruchu należy przeprowadzić do wstępnych wyników pomiarów GPR 2025 (szczegóły w punkcie </w:t>
      </w:r>
      <w:r w:rsidR="00E45524" w:rsidRPr="00E45524">
        <w:rPr>
          <w:rFonts w:ascii="Verdana" w:hAnsi="Verdana"/>
          <w:sz w:val="20"/>
          <w:szCs w:val="20"/>
        </w:rPr>
        <w:t>2.</w:t>
      </w:r>
      <w:r w:rsidR="002A625B">
        <w:rPr>
          <w:rFonts w:ascii="Verdana" w:hAnsi="Verdana"/>
          <w:sz w:val="20"/>
          <w:szCs w:val="20"/>
        </w:rPr>
        <w:t>7</w:t>
      </w:r>
      <w:r w:rsidRPr="00A00611">
        <w:rPr>
          <w:rFonts w:ascii="Verdana" w:hAnsi="Verdana"/>
          <w:sz w:val="20"/>
          <w:szCs w:val="20"/>
        </w:rPr>
        <w:t xml:space="preserve">) – zalecany obszar do kalibracji modelu znajduje w załączniku 3. </w:t>
      </w:r>
    </w:p>
    <w:p w14:paraId="24CB359A" w14:textId="77777777" w:rsidR="00A00611" w:rsidRPr="00A00611" w:rsidRDefault="00A00611" w:rsidP="00E45524">
      <w:pPr>
        <w:pStyle w:val="Akapitzlist"/>
        <w:numPr>
          <w:ilvl w:val="1"/>
          <w:numId w:val="10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>Model sieci drogowej, w czasie procesu uszczegółowienia, w obszarze analizy, należy zweryfikować i wprowadzić odpowiednie typy odcinków, tak aby ich parametry uwzględniały stałe ograniczenia prędkości na odcinkach dróg.</w:t>
      </w:r>
    </w:p>
    <w:p w14:paraId="22D4128A" w14:textId="36E6B996" w:rsidR="00A00611" w:rsidRPr="00A00611" w:rsidRDefault="00A54F40" w:rsidP="00E45524">
      <w:pPr>
        <w:pStyle w:val="Akapitzlist"/>
        <w:numPr>
          <w:ilvl w:val="1"/>
          <w:numId w:val="1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</w:t>
      </w:r>
      <w:r w:rsidR="00A00611" w:rsidRPr="00A00611">
        <w:rPr>
          <w:rFonts w:ascii="Verdana" w:hAnsi="Verdana"/>
          <w:sz w:val="20"/>
          <w:szCs w:val="20"/>
        </w:rPr>
        <w:t xml:space="preserve">zaleca wykonanie pomiarów relacji skrętnych w następujących punktach pomiarowych: </w:t>
      </w:r>
    </w:p>
    <w:p w14:paraId="3CD7F773" w14:textId="37E1D27A" w:rsidR="00A00611" w:rsidRPr="00A00611" w:rsidRDefault="00A00611" w:rsidP="00E45524">
      <w:pPr>
        <w:pStyle w:val="Akapitzlist"/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 xml:space="preserve">SK1 – skrzyżowanie DK25 (ul. Aleja Wojska </w:t>
      </w:r>
      <w:r w:rsidR="00A54F40" w:rsidRPr="00A00611">
        <w:rPr>
          <w:rFonts w:ascii="Verdana" w:hAnsi="Verdana"/>
          <w:sz w:val="20"/>
          <w:szCs w:val="20"/>
        </w:rPr>
        <w:t>Polskiego) /</w:t>
      </w:r>
      <w:r w:rsidRPr="00A00611">
        <w:rPr>
          <w:rFonts w:ascii="Verdana" w:hAnsi="Verdana"/>
          <w:sz w:val="20"/>
          <w:szCs w:val="20"/>
        </w:rPr>
        <w:t>ul. Aleja Wojska Polskiego) w m. Kalisz,</w:t>
      </w:r>
    </w:p>
    <w:p w14:paraId="443CBCE9" w14:textId="77777777" w:rsidR="00A00611" w:rsidRPr="00A00611" w:rsidRDefault="00A00611" w:rsidP="00E45524">
      <w:pPr>
        <w:pStyle w:val="Akapitzlist"/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>SK2 – skrzyżowanie DK25 (węzeł) na początku obw. m. Skalmierzyce,</w:t>
      </w:r>
    </w:p>
    <w:p w14:paraId="69281115" w14:textId="77777777" w:rsidR="00A00611" w:rsidRPr="00A00611" w:rsidRDefault="00A00611" w:rsidP="00E45524">
      <w:pPr>
        <w:pStyle w:val="Akapitzlist"/>
        <w:numPr>
          <w:ilvl w:val="0"/>
          <w:numId w:val="12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>SK3 – skrzyżowanie DK25/DP5305P (węzeł) na końcu obw. m. Skalmierzyce.</w:t>
      </w:r>
    </w:p>
    <w:p w14:paraId="412435AF" w14:textId="65C59370" w:rsidR="00A00611" w:rsidRPr="00A00611" w:rsidRDefault="00A00611" w:rsidP="00E45524">
      <w:pPr>
        <w:pStyle w:val="Akapitzlist"/>
        <w:ind w:left="792"/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 xml:space="preserve">Wymagania do przeprowadzania pomiarów znajdują się w załączniku 4. Mapa z lokalizacją punktów pomiarowych znajduje się w załączniku 5 (link do wersji cyfrowej mapy: </w:t>
      </w:r>
      <w:hyperlink r:id="rId6" w:history="1">
        <w:r w:rsidR="00A54F40" w:rsidRPr="00A54F40">
          <w:rPr>
            <w:rStyle w:val="Hipercze"/>
            <w:rFonts w:ascii="Verdana" w:hAnsi="Verdana"/>
            <w:sz w:val="20"/>
            <w:szCs w:val="20"/>
          </w:rPr>
          <w:t>DK25 Kokanin-Biskupice Ołoboczne – Moje Mapy Google</w:t>
        </w:r>
      </w:hyperlink>
      <w:r w:rsidR="00A54F40">
        <w:rPr>
          <w:rFonts w:ascii="Verdana" w:hAnsi="Verdana"/>
          <w:sz w:val="20"/>
          <w:szCs w:val="20"/>
        </w:rPr>
        <w:t xml:space="preserve">. </w:t>
      </w:r>
      <w:r w:rsidRPr="00A00611">
        <w:rPr>
          <w:rFonts w:ascii="Verdana" w:hAnsi="Verdana"/>
          <w:sz w:val="20"/>
          <w:szCs w:val="20"/>
        </w:rPr>
        <w:t>Prosimy o wcześniejsze poinformowanie DSS i Oddziału GDDKiA w Poznaniu o dokładnym terminie przeprowadzenia pomiarów ruchu.</w:t>
      </w:r>
    </w:p>
    <w:p w14:paraId="252C595C" w14:textId="3433D020" w:rsidR="00A00611" w:rsidRPr="00A00611" w:rsidRDefault="00A54F40" w:rsidP="00E45524">
      <w:pPr>
        <w:pStyle w:val="Akapitzlist"/>
        <w:numPr>
          <w:ilvl w:val="1"/>
          <w:numId w:val="1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A00611" w:rsidRPr="00A00611">
        <w:rPr>
          <w:rFonts w:ascii="Verdana" w:hAnsi="Verdana"/>
          <w:sz w:val="20"/>
          <w:szCs w:val="20"/>
        </w:rPr>
        <w:t xml:space="preserve"> zaleca wykorzystać wstępne, robocze wielkości SDRR, oszacowane na podstawie dostępnych obecnie wyników pomiarów wykonanych w ramach GPR2025</w:t>
      </w:r>
      <w:r>
        <w:rPr>
          <w:rFonts w:ascii="Verdana" w:hAnsi="Verdana"/>
          <w:sz w:val="20"/>
          <w:szCs w:val="20"/>
        </w:rPr>
        <w:t xml:space="preserve">, które zostaną przekazane Wykonawcy po podpisaniu Umowy w terminie 5 dni. </w:t>
      </w:r>
      <w:r w:rsidR="00A00611" w:rsidRPr="00A00611">
        <w:rPr>
          <w:rFonts w:ascii="Verdana" w:hAnsi="Verdana"/>
          <w:sz w:val="20"/>
          <w:szCs w:val="20"/>
        </w:rPr>
        <w:t xml:space="preserve">Zaznaczamy przy tym, że przekazane wstępne i robocze wyniki GPR 2025 nie mają charakteru ostatecznego i mogą jeszcze ulec zmianie, co w przypadku istotnych zmian może oznaczać konieczność aktualizacji modelu. </w:t>
      </w:r>
    </w:p>
    <w:p w14:paraId="316CEFA5" w14:textId="2ACC095E" w:rsidR="00A00611" w:rsidRPr="00A00611" w:rsidRDefault="00A00611" w:rsidP="00E45524">
      <w:pPr>
        <w:pStyle w:val="Akapitzlist"/>
        <w:numPr>
          <w:ilvl w:val="1"/>
          <w:numId w:val="10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>Udział ruchu nocnego prosimy przyjąć na podstawie wstępnych danych z GPR2025 dla odcinka drogi DK25</w:t>
      </w:r>
      <w:r w:rsidR="00E45524">
        <w:rPr>
          <w:rFonts w:ascii="Verdana" w:hAnsi="Verdana"/>
          <w:sz w:val="20"/>
          <w:szCs w:val="20"/>
        </w:rPr>
        <w:t>,</w:t>
      </w:r>
      <w:r w:rsidRPr="00A00611">
        <w:rPr>
          <w:rFonts w:ascii="Verdana" w:hAnsi="Verdana"/>
          <w:sz w:val="20"/>
          <w:szCs w:val="20"/>
        </w:rPr>
        <w:t xml:space="preserve"> </w:t>
      </w:r>
      <w:r w:rsidR="00E45524" w:rsidRPr="00E45524">
        <w:rPr>
          <w:rFonts w:ascii="Verdana" w:hAnsi="Verdana"/>
          <w:sz w:val="20"/>
          <w:szCs w:val="20"/>
        </w:rPr>
        <w:t>które zostaną przekazane Wykonawcy po podpisaniu Umowy w terminie 5 dni</w:t>
      </w:r>
      <w:r w:rsidR="00E45524">
        <w:rPr>
          <w:rFonts w:ascii="Verdana" w:hAnsi="Verdana"/>
          <w:sz w:val="20"/>
          <w:szCs w:val="20"/>
        </w:rPr>
        <w:t xml:space="preserve">, </w:t>
      </w:r>
      <w:r w:rsidRPr="00A00611">
        <w:rPr>
          <w:rFonts w:ascii="Verdana" w:hAnsi="Verdana"/>
          <w:sz w:val="20"/>
          <w:szCs w:val="20"/>
        </w:rPr>
        <w:t xml:space="preserve">natomiast miarodajną godzinę szczytu prosimy przyjąć na podstawie wyników SCPR – szczegóły znajdują się w pliku </w:t>
      </w:r>
      <w:r w:rsidRPr="00A04938">
        <w:rPr>
          <w:rFonts w:ascii="Verdana" w:hAnsi="Verdana"/>
          <w:sz w:val="20"/>
          <w:szCs w:val="20"/>
          <w:u w:val="single"/>
        </w:rPr>
        <w:t xml:space="preserve">Natężenie ruchu w 30, 50, 100, 150 i 200 godzinie w roku w odniesieniu do SDRR, dla roku 2024 </w:t>
      </w:r>
      <w:r w:rsidRPr="00A00611">
        <w:rPr>
          <w:rFonts w:ascii="Verdana" w:hAnsi="Verdana"/>
          <w:sz w:val="20"/>
          <w:szCs w:val="20"/>
        </w:rPr>
        <w:t xml:space="preserve">dostępnym na stronie internetowej:  </w:t>
      </w:r>
      <w:hyperlink r:id="rId7" w:history="1">
        <w:r w:rsidR="00A04938" w:rsidRPr="00A04938">
          <w:rPr>
            <w:rStyle w:val="Hipercze"/>
            <w:rFonts w:ascii="Verdana" w:hAnsi="Verdana"/>
            <w:sz w:val="20"/>
            <w:szCs w:val="20"/>
          </w:rPr>
          <w:t>SCPR - dane z roku 2024 - Generalna Dyrekcja Dróg Krajowych i Autostrad - Portal Gov.pl</w:t>
        </w:r>
      </w:hyperlink>
    </w:p>
    <w:p w14:paraId="3B3262E3" w14:textId="77777777" w:rsidR="00A00611" w:rsidRPr="00A00611" w:rsidRDefault="00A00611" w:rsidP="00E45524">
      <w:pPr>
        <w:pStyle w:val="Akapitzlist"/>
        <w:numPr>
          <w:ilvl w:val="1"/>
          <w:numId w:val="10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>Jednocześnie do oceny i uzgodnienia opracowania analiz i prognoz ruchu z GDDKiA należy przekazać pliki:</w:t>
      </w:r>
    </w:p>
    <w:p w14:paraId="17085F0E" w14:textId="77777777" w:rsidR="00A00611" w:rsidRPr="00A00611" w:rsidRDefault="00A00611" w:rsidP="002A625B">
      <w:pPr>
        <w:pStyle w:val="Akapitzlist"/>
        <w:numPr>
          <w:ilvl w:val="0"/>
          <w:numId w:val="13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>z modelem ruchu (PTV Visum - *.ver, EMME – emmebank lub inny) wraz z innymi plikami niezbędnymi do uruchomienia projektu w tym oprogramowaniu.</w:t>
      </w:r>
    </w:p>
    <w:p w14:paraId="37336597" w14:textId="77777777" w:rsidR="00A00611" w:rsidRPr="00A00611" w:rsidRDefault="00A00611" w:rsidP="002A625B">
      <w:pPr>
        <w:pStyle w:val="Akapitzlist"/>
        <w:numPr>
          <w:ilvl w:val="0"/>
          <w:numId w:val="13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lastRenderedPageBreak/>
        <w:t>obliczenia pracy przewozowej, zgodnie z obowiązującym wzorem (plik: „Praca przewozowa - wzorcowe tabele (stan na 26.02.2025).xlsx” z wzorcowymi tabelami do przygotowania zestawienia pracy przewozowej na potrzeby AKK), znajdującym się na stronie internetowej https://www.gov.pl/web/gddkia/analiza-kosztow-i-korzysci. Przekazanie wyników pracy przewozowej, zgodnie z ww. wzorem, może nastąpić niezwłocznie po otrzymaniu (np. drogą e-mailową) wstępnego uzgodnienia wyników analiz i prognoz ruchu. Uzgodnienie wyników obliczeń pracy przewozowej będzie warunkiem koniecznym do uzyskania ostatecznego uzgodnienia analiz i prognoz ruchu.</w:t>
      </w:r>
    </w:p>
    <w:p w14:paraId="76836FBD" w14:textId="77777777" w:rsidR="002A625B" w:rsidRDefault="00A00611" w:rsidP="002A625B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A00611">
        <w:rPr>
          <w:rFonts w:ascii="Verdana" w:hAnsi="Verdana"/>
          <w:sz w:val="20"/>
          <w:szCs w:val="20"/>
        </w:rPr>
        <w:t xml:space="preserve">Ponadto </w:t>
      </w:r>
      <w:r w:rsidR="00364C84">
        <w:rPr>
          <w:rFonts w:ascii="Verdana" w:hAnsi="Verdana"/>
          <w:sz w:val="20"/>
          <w:szCs w:val="20"/>
        </w:rPr>
        <w:t xml:space="preserve">Zamawiający </w:t>
      </w:r>
      <w:r w:rsidRPr="00A00611">
        <w:rPr>
          <w:rFonts w:ascii="Verdana" w:hAnsi="Verdana"/>
          <w:sz w:val="20"/>
          <w:szCs w:val="20"/>
        </w:rPr>
        <w:t>zwraca uwagę na konieczność współpracy z właściwymi zarządcami dróg w regionie, w zakresie planowanych zmian na sieci dróg publicznych wynikających z ustawowego podziału funkcji przypisanych drogom publicznym.</w:t>
      </w:r>
    </w:p>
    <w:p w14:paraId="015932F5" w14:textId="35E03CA6" w:rsidR="00441F85" w:rsidRPr="002A625B" w:rsidRDefault="002A625B" w:rsidP="002A625B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2A625B">
        <w:rPr>
          <w:rFonts w:ascii="Verdana" w:hAnsi="Verdana"/>
          <w:sz w:val="20"/>
          <w:szCs w:val="20"/>
        </w:rPr>
        <w:t>W ramach zamówienia należy wykonać aktualizację analizy i prognozy ruchu dla drogi krajowej nr 25 na odcinku Kokanin – węzeł Biskupice Ołoboczne (obwodnica Kalisza), opracowanej w 2023 r. (załącznik nr 6). Aktualizacja powinna uwzględniać nowe horyzonty czasowe — pierwotnie w prognozie przyjęto rok 2028 jako termin zakończenia budowy, natomiast obecnie jest to rok 2030 — oraz aktualne wyniki Generalnego Pomiaru Ruchu 2025 (GPR2025). Dodatkowo w załączniku nr 7 udostępniono założenia przyjęte do opracowania z 2023 r.</w:t>
      </w:r>
    </w:p>
    <w:p w14:paraId="7F7F83B0" w14:textId="77777777" w:rsidR="002A625B" w:rsidRDefault="002A625B" w:rsidP="005B21FE">
      <w:pPr>
        <w:spacing w:after="0" w:line="259" w:lineRule="auto"/>
        <w:ind w:left="-5" w:hanging="10"/>
        <w:rPr>
          <w:rFonts w:ascii="Verdana" w:hAnsi="Verdana"/>
          <w:sz w:val="20"/>
          <w:szCs w:val="20"/>
        </w:rPr>
      </w:pPr>
    </w:p>
    <w:p w14:paraId="4C38949E" w14:textId="77777777" w:rsidR="002A625B" w:rsidRDefault="002A625B" w:rsidP="005B21FE">
      <w:pPr>
        <w:spacing w:after="0" w:line="259" w:lineRule="auto"/>
        <w:ind w:left="-5" w:hanging="10"/>
        <w:rPr>
          <w:rFonts w:ascii="Verdana" w:hAnsi="Verdana"/>
          <w:sz w:val="20"/>
          <w:szCs w:val="20"/>
        </w:rPr>
      </w:pPr>
    </w:p>
    <w:p w14:paraId="6AD36ED3" w14:textId="77777777" w:rsidR="002A625B" w:rsidRDefault="002A625B" w:rsidP="005B21FE">
      <w:pPr>
        <w:spacing w:after="0" w:line="259" w:lineRule="auto"/>
        <w:ind w:left="-5" w:hanging="10"/>
        <w:rPr>
          <w:rFonts w:ascii="Verdana" w:hAnsi="Verdana"/>
          <w:sz w:val="20"/>
          <w:szCs w:val="20"/>
        </w:rPr>
      </w:pPr>
    </w:p>
    <w:p w14:paraId="21A4630A" w14:textId="77777777" w:rsidR="002A625B" w:rsidRDefault="002A625B" w:rsidP="005B21FE">
      <w:pPr>
        <w:spacing w:after="0" w:line="259" w:lineRule="auto"/>
        <w:ind w:left="-5" w:hanging="10"/>
        <w:rPr>
          <w:rFonts w:ascii="Verdana" w:hAnsi="Verdana"/>
          <w:sz w:val="20"/>
          <w:szCs w:val="20"/>
        </w:rPr>
      </w:pPr>
    </w:p>
    <w:p w14:paraId="2F6FE049" w14:textId="77777777" w:rsidR="002A625B" w:rsidRDefault="002A625B" w:rsidP="005B21FE">
      <w:pPr>
        <w:spacing w:after="0" w:line="259" w:lineRule="auto"/>
        <w:ind w:left="-5" w:hanging="10"/>
        <w:rPr>
          <w:rFonts w:ascii="Verdana" w:hAnsi="Verdana"/>
          <w:sz w:val="20"/>
          <w:szCs w:val="20"/>
        </w:rPr>
      </w:pPr>
    </w:p>
    <w:p w14:paraId="30407031" w14:textId="3A782D55" w:rsidR="005B21FE" w:rsidRPr="005B21FE" w:rsidRDefault="00556507" w:rsidP="005B21FE">
      <w:pPr>
        <w:spacing w:after="0" w:line="259" w:lineRule="auto"/>
        <w:ind w:left="-5" w:hanging="10"/>
        <w:rPr>
          <w:rFonts w:ascii="Verdana" w:hAnsi="Verdana"/>
        </w:rPr>
      </w:pPr>
      <w:r w:rsidRPr="005B21FE">
        <w:rPr>
          <w:rFonts w:ascii="Verdana" w:hAnsi="Verdana"/>
          <w:sz w:val="20"/>
          <w:szCs w:val="20"/>
        </w:rPr>
        <w:t xml:space="preserve"> </w:t>
      </w:r>
      <w:r w:rsidR="005B21FE" w:rsidRPr="005B21FE">
        <w:rPr>
          <w:rFonts w:ascii="Verdana" w:eastAsia="Verdana" w:hAnsi="Verdana" w:cs="Verdana"/>
          <w:sz w:val="16"/>
        </w:rPr>
        <w:t>Załączniki:</w:t>
      </w:r>
    </w:p>
    <w:p w14:paraId="331CCD56" w14:textId="77777777" w:rsidR="005B21FE" w:rsidRPr="005B21FE" w:rsidRDefault="005B21FE" w:rsidP="005B21FE">
      <w:pPr>
        <w:numPr>
          <w:ilvl w:val="0"/>
          <w:numId w:val="9"/>
        </w:numPr>
        <w:spacing w:after="7" w:line="253" w:lineRule="auto"/>
        <w:ind w:hanging="360"/>
        <w:rPr>
          <w:rFonts w:ascii="Verdana" w:hAnsi="Verdana"/>
        </w:rPr>
      </w:pPr>
      <w:r w:rsidRPr="005B21FE">
        <w:rPr>
          <w:rFonts w:ascii="Verdana" w:hAnsi="Verdana"/>
          <w:sz w:val="16"/>
        </w:rPr>
        <w:t>Zestawienie planowanych inwestycji na drogach krajowych – stan na koniec grudnia 2025 r.</w:t>
      </w:r>
    </w:p>
    <w:p w14:paraId="72FE254B" w14:textId="77777777" w:rsidR="005B21FE" w:rsidRPr="005B21FE" w:rsidRDefault="005B21FE" w:rsidP="005B21FE">
      <w:pPr>
        <w:numPr>
          <w:ilvl w:val="0"/>
          <w:numId w:val="9"/>
        </w:numPr>
        <w:spacing w:after="0" w:line="259" w:lineRule="auto"/>
        <w:ind w:hanging="360"/>
        <w:rPr>
          <w:rFonts w:ascii="Verdana" w:hAnsi="Verdana"/>
        </w:rPr>
      </w:pPr>
      <w:r w:rsidRPr="005B21FE">
        <w:rPr>
          <w:rFonts w:ascii="Verdana" w:eastAsia="Verdana" w:hAnsi="Verdana" w:cs="Verdana"/>
          <w:sz w:val="16"/>
        </w:rPr>
        <w:t>Wysokości</w:t>
      </w:r>
      <w:r w:rsidRPr="005B21FE">
        <w:rPr>
          <w:rFonts w:ascii="Verdana" w:hAnsi="Verdana"/>
          <w:sz w:val="16"/>
        </w:rPr>
        <w:t xml:space="preserve"> stawek </w:t>
      </w:r>
      <w:r w:rsidRPr="005B21FE">
        <w:rPr>
          <w:rFonts w:ascii="Verdana" w:eastAsia="Verdana" w:hAnsi="Verdana" w:cs="Verdana"/>
          <w:sz w:val="16"/>
        </w:rPr>
        <w:t>opłat.</w:t>
      </w:r>
    </w:p>
    <w:p w14:paraId="1AE9B246" w14:textId="77777777" w:rsidR="005B21FE" w:rsidRPr="005B21FE" w:rsidRDefault="005B21FE" w:rsidP="005B21FE">
      <w:pPr>
        <w:numPr>
          <w:ilvl w:val="0"/>
          <w:numId w:val="9"/>
        </w:numPr>
        <w:spacing w:after="7" w:line="253" w:lineRule="auto"/>
        <w:ind w:hanging="360"/>
        <w:rPr>
          <w:rFonts w:ascii="Verdana" w:hAnsi="Verdana"/>
        </w:rPr>
      </w:pPr>
      <w:r w:rsidRPr="005B21FE">
        <w:rPr>
          <w:rFonts w:ascii="Verdana" w:hAnsi="Verdana"/>
          <w:sz w:val="16"/>
        </w:rPr>
        <w:t>Mapa z obszarem kalibracji.</w:t>
      </w:r>
    </w:p>
    <w:p w14:paraId="1268DD02" w14:textId="77777777" w:rsidR="005B21FE" w:rsidRPr="005B21FE" w:rsidRDefault="005B21FE" w:rsidP="005B21FE">
      <w:pPr>
        <w:numPr>
          <w:ilvl w:val="0"/>
          <w:numId w:val="9"/>
        </w:numPr>
        <w:spacing w:after="7" w:line="253" w:lineRule="auto"/>
        <w:ind w:hanging="360"/>
        <w:rPr>
          <w:rFonts w:ascii="Verdana" w:hAnsi="Verdana"/>
        </w:rPr>
      </w:pPr>
      <w:r w:rsidRPr="005B21FE">
        <w:rPr>
          <w:rFonts w:ascii="Verdana" w:hAnsi="Verdana"/>
          <w:sz w:val="16"/>
        </w:rPr>
        <w:t xml:space="preserve">Wymagania do przeprowadzenia pomiarów </w:t>
      </w:r>
      <w:r w:rsidRPr="005B21FE">
        <w:rPr>
          <w:rFonts w:ascii="Verdana" w:eastAsia="Verdana" w:hAnsi="Verdana" w:cs="Verdana"/>
          <w:sz w:val="16"/>
        </w:rPr>
        <w:t>całodobowych,</w:t>
      </w:r>
      <w:r w:rsidRPr="005B21FE">
        <w:rPr>
          <w:rFonts w:ascii="Verdana" w:hAnsi="Verdana"/>
          <w:sz w:val="16"/>
        </w:rPr>
        <w:t xml:space="preserve"> relacji </w:t>
      </w:r>
      <w:r w:rsidRPr="005B21FE">
        <w:rPr>
          <w:rFonts w:ascii="Verdana" w:eastAsia="Verdana" w:hAnsi="Verdana" w:cs="Verdana"/>
          <w:sz w:val="16"/>
        </w:rPr>
        <w:t>skrętnych</w:t>
      </w:r>
      <w:r w:rsidRPr="005B21FE">
        <w:rPr>
          <w:rFonts w:ascii="Verdana" w:hAnsi="Verdana"/>
          <w:sz w:val="16"/>
        </w:rPr>
        <w:t xml:space="preserve"> oraz ruchu tranzytowego.</w:t>
      </w:r>
    </w:p>
    <w:p w14:paraId="5BF34455" w14:textId="77777777" w:rsidR="005B21FE" w:rsidRPr="002A625B" w:rsidRDefault="005B21FE" w:rsidP="005B21FE">
      <w:pPr>
        <w:numPr>
          <w:ilvl w:val="0"/>
          <w:numId w:val="9"/>
        </w:numPr>
        <w:spacing w:after="7" w:line="253" w:lineRule="auto"/>
        <w:ind w:hanging="360"/>
        <w:rPr>
          <w:rFonts w:ascii="Verdana" w:hAnsi="Verdana"/>
        </w:rPr>
      </w:pPr>
      <w:r w:rsidRPr="005B21FE">
        <w:rPr>
          <w:rFonts w:ascii="Verdana" w:hAnsi="Verdana"/>
          <w:sz w:val="16"/>
        </w:rPr>
        <w:t xml:space="preserve">Mapa z </w:t>
      </w:r>
      <w:r w:rsidRPr="005B21FE">
        <w:rPr>
          <w:rFonts w:ascii="Verdana" w:eastAsia="Verdana" w:hAnsi="Verdana" w:cs="Verdana"/>
          <w:sz w:val="16"/>
        </w:rPr>
        <w:t>lokalizacją</w:t>
      </w:r>
      <w:r w:rsidRPr="005B21FE">
        <w:rPr>
          <w:rFonts w:ascii="Verdana" w:hAnsi="Verdana"/>
          <w:sz w:val="16"/>
        </w:rPr>
        <w:t xml:space="preserve"> punktów pomiarowych</w:t>
      </w:r>
    </w:p>
    <w:p w14:paraId="6E5166DD" w14:textId="620D6A9C" w:rsidR="002A625B" w:rsidRPr="002A625B" w:rsidRDefault="002A625B" w:rsidP="005B21FE">
      <w:pPr>
        <w:numPr>
          <w:ilvl w:val="0"/>
          <w:numId w:val="9"/>
        </w:numPr>
        <w:spacing w:after="7" w:line="253" w:lineRule="auto"/>
        <w:ind w:hanging="360"/>
        <w:rPr>
          <w:rFonts w:ascii="Verdana" w:hAnsi="Verdana"/>
        </w:rPr>
      </w:pPr>
      <w:r>
        <w:rPr>
          <w:rFonts w:ascii="Verdana" w:hAnsi="Verdana"/>
          <w:sz w:val="16"/>
        </w:rPr>
        <w:t xml:space="preserve">Analiza </w:t>
      </w:r>
      <w:bookmarkStart w:id="0" w:name="_Hlk223959354"/>
      <w:r>
        <w:rPr>
          <w:rFonts w:ascii="Verdana" w:hAnsi="Verdana"/>
          <w:sz w:val="16"/>
        </w:rPr>
        <w:t xml:space="preserve">i Prognoza Ruchu </w:t>
      </w:r>
      <w:bookmarkEnd w:id="0"/>
      <w:r w:rsidRPr="002A625B">
        <w:rPr>
          <w:rFonts w:ascii="Verdana" w:hAnsi="Verdana"/>
          <w:sz w:val="16"/>
        </w:rPr>
        <w:t xml:space="preserve">dla drogi krajowej nr 25 </w:t>
      </w:r>
      <w:r>
        <w:rPr>
          <w:rFonts w:ascii="Verdana" w:hAnsi="Verdana"/>
          <w:sz w:val="16"/>
        </w:rPr>
        <w:t>odc.</w:t>
      </w:r>
      <w:r w:rsidRPr="002A625B">
        <w:rPr>
          <w:rFonts w:ascii="Verdana" w:hAnsi="Verdana"/>
          <w:sz w:val="16"/>
        </w:rPr>
        <w:t xml:space="preserve"> Kokanin – węzeł Biskupice Ołoboczne (obwodnica Kalisza)</w:t>
      </w:r>
      <w:r>
        <w:rPr>
          <w:rFonts w:ascii="Verdana" w:hAnsi="Verdana"/>
          <w:sz w:val="16"/>
        </w:rPr>
        <w:t xml:space="preserve"> z 2023 r.</w:t>
      </w:r>
    </w:p>
    <w:p w14:paraId="56DA03C5" w14:textId="4A80F3AD" w:rsidR="002A625B" w:rsidRPr="005B21FE" w:rsidRDefault="002A625B" w:rsidP="005B21FE">
      <w:pPr>
        <w:numPr>
          <w:ilvl w:val="0"/>
          <w:numId w:val="9"/>
        </w:numPr>
        <w:spacing w:after="7" w:line="253" w:lineRule="auto"/>
        <w:ind w:hanging="360"/>
        <w:rPr>
          <w:rFonts w:ascii="Verdana" w:hAnsi="Verdana"/>
        </w:rPr>
      </w:pPr>
      <w:r>
        <w:rPr>
          <w:rFonts w:ascii="Verdana" w:hAnsi="Verdana"/>
          <w:sz w:val="16"/>
        </w:rPr>
        <w:t xml:space="preserve">Założenia do Analizy </w:t>
      </w:r>
      <w:r w:rsidRPr="002A625B">
        <w:rPr>
          <w:rFonts w:ascii="Verdana" w:hAnsi="Verdana"/>
          <w:sz w:val="16"/>
        </w:rPr>
        <w:t>i Prognoza Ruchu</w:t>
      </w:r>
      <w:r>
        <w:rPr>
          <w:rFonts w:ascii="Verdana" w:hAnsi="Verdana"/>
          <w:sz w:val="16"/>
        </w:rPr>
        <w:t xml:space="preserve"> </w:t>
      </w:r>
      <w:r w:rsidR="003F29A5">
        <w:rPr>
          <w:rFonts w:ascii="Verdana" w:hAnsi="Verdana"/>
          <w:sz w:val="16"/>
        </w:rPr>
        <w:t xml:space="preserve">z 2023 r – pismo </w:t>
      </w:r>
      <w:r w:rsidR="003F29A5" w:rsidRPr="003F29A5">
        <w:rPr>
          <w:rFonts w:ascii="Verdana" w:hAnsi="Verdana"/>
          <w:sz w:val="16"/>
        </w:rPr>
        <w:t>DSS.WSD-ZI-ZMR.4085.55.2022.MS</w:t>
      </w:r>
      <w:r w:rsidR="003F29A5">
        <w:rPr>
          <w:rFonts w:ascii="Verdana" w:hAnsi="Verdana"/>
          <w:sz w:val="16"/>
        </w:rPr>
        <w:t xml:space="preserve"> z dnia 10.11.2022 r. </w:t>
      </w:r>
    </w:p>
    <w:sectPr w:rsidR="002A625B" w:rsidRPr="005B21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0DFF"/>
    <w:multiLevelType w:val="hybridMultilevel"/>
    <w:tmpl w:val="5122F2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A2455"/>
    <w:multiLevelType w:val="multilevel"/>
    <w:tmpl w:val="8C148614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065BD3"/>
    <w:multiLevelType w:val="hybridMultilevel"/>
    <w:tmpl w:val="09F8C050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" w15:restartNumberingAfterBreak="0">
    <w:nsid w:val="246625EF"/>
    <w:multiLevelType w:val="hybridMultilevel"/>
    <w:tmpl w:val="16A2AF98"/>
    <w:lvl w:ilvl="0" w:tplc="37E242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84E01"/>
    <w:multiLevelType w:val="hybridMultilevel"/>
    <w:tmpl w:val="83D4BCC6"/>
    <w:lvl w:ilvl="0" w:tplc="75F4A33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1757C5"/>
    <w:multiLevelType w:val="hybridMultilevel"/>
    <w:tmpl w:val="ED4E5CE4"/>
    <w:lvl w:ilvl="0" w:tplc="F69A3D42">
      <w:start w:val="1"/>
      <w:numFmt w:val="decimal"/>
      <w:lvlText w:val="%1."/>
      <w:lvlJc w:val="left"/>
      <w:pPr>
        <w:ind w:left="7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9E28B06">
      <w:start w:val="1"/>
      <w:numFmt w:val="lowerLetter"/>
      <w:lvlText w:val="%2"/>
      <w:lvlJc w:val="left"/>
      <w:pPr>
        <w:ind w:left="143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ECE4A72">
      <w:start w:val="1"/>
      <w:numFmt w:val="lowerRoman"/>
      <w:lvlText w:val="%3"/>
      <w:lvlJc w:val="left"/>
      <w:pPr>
        <w:ind w:left="215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F567EFE">
      <w:start w:val="1"/>
      <w:numFmt w:val="decimal"/>
      <w:lvlText w:val="%4"/>
      <w:lvlJc w:val="left"/>
      <w:pPr>
        <w:ind w:left="287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3A89814">
      <w:start w:val="1"/>
      <w:numFmt w:val="lowerLetter"/>
      <w:lvlText w:val="%5"/>
      <w:lvlJc w:val="left"/>
      <w:pPr>
        <w:ind w:left="359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57AD2A6">
      <w:start w:val="1"/>
      <w:numFmt w:val="lowerRoman"/>
      <w:lvlText w:val="%6"/>
      <w:lvlJc w:val="left"/>
      <w:pPr>
        <w:ind w:left="43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2C6B4E6">
      <w:start w:val="1"/>
      <w:numFmt w:val="decimal"/>
      <w:lvlText w:val="%7"/>
      <w:lvlJc w:val="left"/>
      <w:pPr>
        <w:ind w:left="503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9BA79E8">
      <w:start w:val="1"/>
      <w:numFmt w:val="lowerLetter"/>
      <w:lvlText w:val="%8"/>
      <w:lvlJc w:val="left"/>
      <w:pPr>
        <w:ind w:left="575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1F7A091E">
      <w:start w:val="1"/>
      <w:numFmt w:val="lowerRoman"/>
      <w:lvlText w:val="%9"/>
      <w:lvlJc w:val="left"/>
      <w:pPr>
        <w:ind w:left="647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F4077E"/>
    <w:multiLevelType w:val="hybridMultilevel"/>
    <w:tmpl w:val="5B3A48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8115DE"/>
    <w:multiLevelType w:val="hybridMultilevel"/>
    <w:tmpl w:val="48DCA9E6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 w15:restartNumberingAfterBreak="0">
    <w:nsid w:val="37DD52AD"/>
    <w:multiLevelType w:val="multilevel"/>
    <w:tmpl w:val="3F6EE2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11E5CAA"/>
    <w:multiLevelType w:val="hybridMultilevel"/>
    <w:tmpl w:val="78C6C2B8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 w15:restartNumberingAfterBreak="0">
    <w:nsid w:val="551F5B03"/>
    <w:multiLevelType w:val="multilevel"/>
    <w:tmpl w:val="A658F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4167257"/>
    <w:multiLevelType w:val="hybridMultilevel"/>
    <w:tmpl w:val="954CFB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4C4F62"/>
    <w:multiLevelType w:val="hybridMultilevel"/>
    <w:tmpl w:val="576636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8612305">
    <w:abstractNumId w:val="8"/>
  </w:num>
  <w:num w:numId="2" w16cid:durableId="576403061">
    <w:abstractNumId w:val="1"/>
  </w:num>
  <w:num w:numId="3" w16cid:durableId="953364806">
    <w:abstractNumId w:val="0"/>
  </w:num>
  <w:num w:numId="4" w16cid:durableId="6443893">
    <w:abstractNumId w:val="3"/>
  </w:num>
  <w:num w:numId="5" w16cid:durableId="1929804492">
    <w:abstractNumId w:val="4"/>
  </w:num>
  <w:num w:numId="6" w16cid:durableId="2039233004">
    <w:abstractNumId w:val="11"/>
  </w:num>
  <w:num w:numId="7" w16cid:durableId="1666515980">
    <w:abstractNumId w:val="12"/>
  </w:num>
  <w:num w:numId="8" w16cid:durableId="198400880">
    <w:abstractNumId w:val="6"/>
  </w:num>
  <w:num w:numId="9" w16cid:durableId="1586692402">
    <w:abstractNumId w:val="5"/>
  </w:num>
  <w:num w:numId="10" w16cid:durableId="1078290187">
    <w:abstractNumId w:val="10"/>
  </w:num>
  <w:num w:numId="11" w16cid:durableId="1501001320">
    <w:abstractNumId w:val="9"/>
  </w:num>
  <w:num w:numId="12" w16cid:durableId="1266884874">
    <w:abstractNumId w:val="7"/>
  </w:num>
  <w:num w:numId="13" w16cid:durableId="7413684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519"/>
    <w:rsid w:val="00012452"/>
    <w:rsid w:val="00041323"/>
    <w:rsid w:val="00060696"/>
    <w:rsid w:val="002A625B"/>
    <w:rsid w:val="00364C84"/>
    <w:rsid w:val="003930B5"/>
    <w:rsid w:val="003F29A5"/>
    <w:rsid w:val="00441F85"/>
    <w:rsid w:val="0048138F"/>
    <w:rsid w:val="004C2E65"/>
    <w:rsid w:val="00556507"/>
    <w:rsid w:val="00590291"/>
    <w:rsid w:val="005B0B47"/>
    <w:rsid w:val="005B21FE"/>
    <w:rsid w:val="006E1426"/>
    <w:rsid w:val="007D4ABA"/>
    <w:rsid w:val="007D6E7F"/>
    <w:rsid w:val="00871519"/>
    <w:rsid w:val="008F41A7"/>
    <w:rsid w:val="009570FD"/>
    <w:rsid w:val="009B6026"/>
    <w:rsid w:val="009C4FEF"/>
    <w:rsid w:val="00A00611"/>
    <w:rsid w:val="00A04938"/>
    <w:rsid w:val="00A06A16"/>
    <w:rsid w:val="00A54F40"/>
    <w:rsid w:val="00A60F6A"/>
    <w:rsid w:val="00A62C79"/>
    <w:rsid w:val="00AA22E5"/>
    <w:rsid w:val="00B07FF1"/>
    <w:rsid w:val="00B1417B"/>
    <w:rsid w:val="00B532AC"/>
    <w:rsid w:val="00C1060E"/>
    <w:rsid w:val="00D532CE"/>
    <w:rsid w:val="00D61CC9"/>
    <w:rsid w:val="00DB086F"/>
    <w:rsid w:val="00E45524"/>
    <w:rsid w:val="00E83C8E"/>
    <w:rsid w:val="00ED01C5"/>
    <w:rsid w:val="00FB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85D8D"/>
  <w15:chartTrackingRefBased/>
  <w15:docId w15:val="{37C738BC-A4C6-473B-A844-773007EB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1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1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1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1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1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1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1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1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1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1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1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1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1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1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1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1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1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1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1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1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1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1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1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1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1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1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1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1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1519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7D4ABA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A0061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061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00611"/>
    <w:rPr>
      <w:color w:val="96607D" w:themeColor="followedHyperlink"/>
      <w:u w:val="single"/>
    </w:rPr>
  </w:style>
  <w:style w:type="table" w:styleId="Tabela-Siatka">
    <w:name w:val="Table Grid"/>
    <w:basedOn w:val="Standardowy"/>
    <w:uiPriority w:val="39"/>
    <w:rsid w:val="00A54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pl/web/gddkia/scpr---dane-z-roku-2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pl/maps/d/viewer?mid=1fyuVt1FjmyHRe0vSgFRghQ8XQCBPqmQ&amp;ll=51.743974970368406%2C18.023844000000015&amp;z=12" TargetMode="External"/><Relationship Id="rId5" Type="http://schemas.openxmlformats.org/officeDocument/2006/relationships/hyperlink" Target="https://www.gov.pl/web/infrastruktura/rzadowy-program-budowy-drog-krajowych-do-2030-r-z-perspektywa-do-2033-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1165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Danaj Małgorzata</dc:creator>
  <cp:keywords/>
  <dc:description/>
  <cp:lastModifiedBy>Danaj Małgorzata</cp:lastModifiedBy>
  <cp:revision>2</cp:revision>
  <dcterms:created xsi:type="dcterms:W3CDTF">2026-03-27T06:51:00Z</dcterms:created>
  <dcterms:modified xsi:type="dcterms:W3CDTF">2026-03-27T06:51:00Z</dcterms:modified>
</cp:coreProperties>
</file>